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24.02.2025 N 138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обеспечением"</w:t>
              <w:br/>
              <w:t xml:space="preserve">(Зарегистрировано в Минюсте России 31.03.2025 N 81696)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31 марта 2025 г. N 81696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24 февраля 2025 г. N 138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09.02.11 РАЗРАБОТКА И УПРАВЛЕНИЕ ПРОГРАММНЫМ ОБЕСПЕЧЕНИЕМ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4.2.30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прилагаемый федеральный государственный образовательный </w:t>
      </w:r>
      <w:hyperlink w:history="0" w:anchor="P29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специальности 09.02.11 Разработка и управление программным обеспечением.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февраля 2025 г. N 138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09.02.11 РАЗРАБОТКА И УПРАВЛЕНИЕ ПРОГРАММНЫМ ОБЕСПЕЧЕНИЕМ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0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09.02.11</w:t>
        </w:r>
      </w:hyperlink>
      <w:r>
        <w:rPr>
          <w:sz w:val="24"/>
        </w:rPr>
        <w:t xml:space="preserve">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"программист"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1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Федеральный государственный образовательный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4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2 статьи 12.1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4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- 2 года 10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- 3 года 10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5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16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>
      <w:pPr>
        <w:pStyle w:val="0"/>
        <w:jc w:val="both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06</w:t>
        </w:r>
      </w:hyperlink>
      <w:r>
        <w:rPr>
          <w:sz w:val="24"/>
        </w:rPr>
        <w:t xml:space="preserve"> Связь, информационные и коммуникационные технологии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Структура и объем образовательной программы </w:t>
      </w:r>
      <w:hyperlink w:history="0" w:anchor="P85" w:tooltip="Структура и объем образовательной программы">
        <w:r>
          <w:rPr>
            <w:sz w:val="24"/>
            <w:color w:val="0000ff"/>
          </w:rPr>
          <w:t xml:space="preserve">(таблица N 1)</w:t>
        </w:r>
      </w:hyperlink>
      <w:r>
        <w:rPr>
          <w:sz w:val="24"/>
        </w:rPr>
        <w:t xml:space="preserve">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дисциплины (модули);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bookmarkStart w:id="85" w:name="P85"/>
    <w:bookmarkEnd w:id="85"/>
    <w:p>
      <w:pPr>
        <w:pStyle w:val="0"/>
        <w:jc w:val="center"/>
      </w:pPr>
      <w:r>
        <w:rPr>
          <w:sz w:val="24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2052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900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4464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4"/>
                  <w:color w:val="0000ff"/>
                </w:rPr>
                <w:t xml:space="preserve">стандарта</w:t>
              </w:r>
            </w:hyperlink>
            <w:r>
              <w:rPr>
                <w:sz w:val="24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Образовательная программа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социально-гуманитарный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профессиональный цикл.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4" w:tooltip="III. ТРЕБОВАНИЯ К РЕЗУЛЬТАТАМ ОСВОЕНИЯ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разработка, администрирование и защита баз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интеграция модулей программного обеспечения;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проектирование и разработка информационных систем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проектирование и разработка веб-приложений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приложений для мобильных платформ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встраиваемого программного обеспечения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бизнес-приложений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конфигурирование, управление и мониторинг ИТ-инфраструктуры (по выбору).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ФГОС СПО, в рамках вариативной части.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"Математический аппарат в отрасли информационных технологий", "Операционные системы и среды", "Архитектура аппаратных средств", "Информационные технологии в профессиональной деятельности", "Основы информационной безопасности", "Основы алгоритмизации и программирования", "Компьютерные сети", "Управление ИТ-проектами", "Основы работы с информацией".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5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11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&quot;програм...">
        <w:r>
          <w:rPr>
            <w:sz w:val="24"/>
            <w:color w:val="0000ff"/>
          </w:rPr>
          <w:t xml:space="preserve">пункте 1.1</w:t>
        </w:r>
      </w:hyperlink>
      <w:r>
        <w:rPr>
          <w:sz w:val="24"/>
        </w:rPr>
        <w:t xml:space="preserve"> ФГОС СПО.</w:t>
      </w:r>
    </w:p>
    <w:p>
      <w:pPr>
        <w:pStyle w:val="0"/>
        <w:jc w:val="both"/>
      </w:pPr>
      <w:r>
        <w:rPr>
          <w:sz w:val="24"/>
        </w:rPr>
      </w:r>
    </w:p>
    <w:bookmarkStart w:id="134" w:name="P134"/>
    <w:bookmarkEnd w:id="134"/>
    <w:p>
      <w:pPr>
        <w:pStyle w:val="2"/>
        <w:outlineLvl w:val="1"/>
        <w:jc w:val="center"/>
      </w:pPr>
      <w:r>
        <w:rPr>
          <w:sz w:val="24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разработка, администрирование и защита баз данных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Проектировать базы данных.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Разрабатывать объекты баз данных в соответствии с результатами анализа предметной области.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1.3. Реализовывать базу данных в конкретной системе управления базами данных.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1.4. Администрировать базы данных.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1.5. Защищать информацию в базе данных с использованием технологии защиты информации.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интеграция модулей программного обеспечения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Проектировать модули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Разрабатывать модули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Выполнять интеграцию модулей и компонентов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2.4. Выполнять тестирование и отладку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2.5. Осуществлять документирование программных модулей программного обеспечения.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и разработка информационных систем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Собирать исходные данные для разработки проектной документации на информационную систему.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Разрабатывать проектную документацию на разработку информационной системы в соответствии с требованиями заказчика.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Разрабатывать подсистемы безопасности информационной системы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3.4. Производить разработку модулей информационной системы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3.5. Интегрировать информационную систему с существующими информационными системами заказчика.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3.6. Осуществлять модульное и интеграционное тестирование информационной системы.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3.7. Разрабатывать техническую документацию на эксплуатацию информационной системы.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3.8. Производить оценку информационной системы для выявления возможности ее модернизации.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и разработка веб-приложений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Разрабатывать техническое задание на веб-приложение в соответствии с требованиями заказчика.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Разрабатывать веб-приложения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Осуществлять техническое сопровождение и восстановление веб-приложений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3.4. Производить тестирование разработанного веб-приложения.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3.5. Осуществлять аудит безопасности веб-приложения в соответствии с регламентом по безопасности.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3.6. Модернизировать веб-приложения с учетом правил и норм подготовки информации для поисковых систем.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3.7. Реализовывать мероприятия по продвижению приложения.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приложений для мобильных платформ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Разрабатывать модули программного обеспечения для мобильных платформ.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Проектировать и разрабатывать пользовательский интерфейс и пользовательский опыт.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Проектировать и разрабатывать базы данных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мобильных платформ.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3.4. Осуществлять внедрение мультимедиа в программное обеспечение для мобильных платформ.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3.5. Выполнять тестирование и отладку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3.6. Выполнять интеграцию разработанного приложения с внешними системами и платформами.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3.7. Осуществлять защиту данных в мобильных приложениях.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встраиваемого программного обеспечения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Разрабатывать аппаратные интерфейсы и драйверы.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Реализовывать оптимизацию ресурсов встраиваемых систем.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Разрабатывать встраиваемые программные модули.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3.4. Реализовывать интерфейс взаимодействия компонентов встраиваемых систем.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3.5. Выполнять тестирование и отладку встраиваемых систем.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бизнес-приложений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Выполнять техническое проектирование бизнес-приложений и сопровождение проектных решений.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Разрабатывать бизнес-приложения.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Модифицировать бизнес-приложения.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3.4. Выполнять тестирование и отладку бизнес-приложений.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3.5. Выполнять внедрение бизнес-приложений и их интеграцию с информационными системами (сервисами).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3.6. Осуществлять поддержку и обслуживание бизнес-приложений.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конфигурирование, управление и мониторинг ИТ-инфраструктуры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Выполнять непрерывную интеграцию и непрерывное развертывание программного обеспечения в процессе разработки.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Управлять конфигурациями и инфраструктурой.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Осуществлять мониторинг и логирование.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3.4. Осуществлять оптимизацию процессов разработки и развертывания.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3.5. Выполнять сборку и доставку приложений.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3.6. Управлять версиями и кодом.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3.7. Осуществлять безопасность ИТ-инфраструктуры.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7 статьи 73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СП 2.4.3648-20</w:t>
        </w:r>
      </w:hyperlink>
      <w:r>
        <w:rPr>
          <w:sz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СанПиН 2.3/2.4.3590-20</w:t>
        </w:r>
      </w:hyperlink>
      <w:r>
        <w:rPr>
          <w:sz w:val="24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СанПиН 1.2.3685-21</w:t>
        </w:r>
      </w:hyperlink>
      <w:r>
        <w:rPr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 (имеющих стаж работы в данной профессиональной области не менее одного года);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5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Бюджетный </w:t>
      </w:r>
      <w:hyperlink w:history="0" r:id="rId26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24.02.2025 N 138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ate=15.04.2026&amp;dst=100051&amp;field=134" TargetMode = "External"/><Relationship Id="rId9" Type="http://schemas.openxmlformats.org/officeDocument/2006/relationships/hyperlink" Target="https://login.consultant.ru/link/?req=doc&amp;base=LAW&amp;n=481262&amp;date=15.04.2026&amp;dst=100072&amp;field=134" TargetMode = "External"/><Relationship Id="rId10" Type="http://schemas.openxmlformats.org/officeDocument/2006/relationships/hyperlink" Target="https://login.consultant.ru/link/?req=doc&amp;base=LAW&amp;n=530300&amp;date=15.04.2026&amp;dst=964&amp;field=134" TargetMode = "External"/><Relationship Id="rId11" Type="http://schemas.openxmlformats.org/officeDocument/2006/relationships/hyperlink" Target="https://login.consultant.ru/link/?req=doc&amp;base=LAW&amp;n=530300&amp;date=15.04.2026&amp;dst=100562&amp;field=134" TargetMode = "External"/><Relationship Id="rId12" Type="http://schemas.openxmlformats.org/officeDocument/2006/relationships/hyperlink" Target="https://login.consultant.ru/link/?req=doc&amp;base=LAW&amp;n=501142&amp;date=15.04.2026&amp;dst=4&amp;field=134" TargetMode = "External"/><Relationship Id="rId13" Type="http://schemas.openxmlformats.org/officeDocument/2006/relationships/hyperlink" Target="https://login.consultant.ru/link/?req=doc&amp;base=LAW&amp;n=501142&amp;date=15.04.2026&amp;dst=4&amp;field=134" TargetMode = "External"/><Relationship Id="rId14" Type="http://schemas.openxmlformats.org/officeDocument/2006/relationships/hyperlink" Target="https://login.consultant.ru/link/?req=doc&amp;base=LAW&amp;n=528383&amp;date=15.04.2026&amp;dst=774&amp;field=134" TargetMode = "External"/><Relationship Id="rId15" Type="http://schemas.openxmlformats.org/officeDocument/2006/relationships/hyperlink" Target="https://login.consultant.ru/link/?req=doc&amp;base=LAW&amp;n=528383&amp;date=15.04.2026&amp;dst=100249&amp;field=134" TargetMode = "External"/><Relationship Id="rId16" Type="http://schemas.openxmlformats.org/officeDocument/2006/relationships/hyperlink" Target="https://login.consultant.ru/link/?req=doc&amp;base=LAW&amp;n=411930&amp;date=15.04.2026&amp;dst=100030&amp;field=134" TargetMode = "External"/><Relationship Id="rId17" Type="http://schemas.openxmlformats.org/officeDocument/2006/relationships/hyperlink" Target="https://login.consultant.ru/link/?req=doc&amp;base=LAW&amp;n=214720&amp;date=15.04.2026&amp;dst=100060&amp;field=134" TargetMode = "External"/><Relationship Id="rId18" Type="http://schemas.openxmlformats.org/officeDocument/2006/relationships/hyperlink" Target="https://login.consultant.ru/link/?req=doc&amp;base=LAW&amp;n=214720&amp;date=15.04.2026&amp;dst=100047&amp;field=134" TargetMode = "External"/><Relationship Id="rId19" Type="http://schemas.openxmlformats.org/officeDocument/2006/relationships/hyperlink" Target="https://login.consultant.ru/link/?req=doc&amp;base=LAW&amp;n=501142&amp;date=15.04.2026&amp;dst=4&amp;field=134" TargetMode = "External"/><Relationship Id="rId20" Type="http://schemas.openxmlformats.org/officeDocument/2006/relationships/hyperlink" Target="https://login.consultant.ru/link/?req=doc&amp;base=LAW&amp;n=528383&amp;date=15.04.2026&amp;dst=415&amp;field=134" TargetMode = "External"/><Relationship Id="rId21" Type="http://schemas.openxmlformats.org/officeDocument/2006/relationships/hyperlink" Target="https://login.consultant.ru/link/?req=doc&amp;base=LAW&amp;n=511660&amp;date=15.04.2026" TargetMode = "External"/><Relationship Id="rId22" Type="http://schemas.openxmlformats.org/officeDocument/2006/relationships/hyperlink" Target="https://login.consultant.ru/link/?req=doc&amp;base=LAW&amp;n=522968&amp;date=15.04.2026&amp;dst=100047&amp;field=134" TargetMode = "External"/><Relationship Id="rId23" Type="http://schemas.openxmlformats.org/officeDocument/2006/relationships/hyperlink" Target="https://login.consultant.ru/link/?req=doc&amp;base=LAW&amp;n=494597&amp;date=15.04.2026&amp;dst=100037&amp;field=134" TargetMode = "External"/><Relationship Id="rId24" Type="http://schemas.openxmlformats.org/officeDocument/2006/relationships/hyperlink" Target="https://login.consultant.ru/link/?req=doc&amp;base=LAW&amp;n=517341&amp;date=15.04.2026&amp;dst=100137&amp;field=134" TargetMode = "External"/><Relationship Id="rId25" Type="http://schemas.openxmlformats.org/officeDocument/2006/relationships/hyperlink" Target="https://login.consultant.ru/link/?req=doc&amp;base=LAW&amp;n=528383&amp;date=15.04.2026" TargetMode = "External"/><Relationship Id="rId26" Type="http://schemas.openxmlformats.org/officeDocument/2006/relationships/hyperlink" Target="https://login.consultant.ru/link/?req=doc&amp;base=LAW&amp;n=495710&amp;date=15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24.02.2025 N 138
"Об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обеспечением"
(Зарегистрировано в Минюсте России 31.03.2025 N 81696)</dc:title>
  <dcterms:created xsi:type="dcterms:W3CDTF">2026-04-15T11:42:46Z</dcterms:created>
</cp:coreProperties>
</file>